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16" w:rsidRPr="00A239A2" w:rsidRDefault="007D5316" w:rsidP="007D5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Description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Discipline</w:t>
      </w:r>
      <w:proofErr w:type="spellEnd"/>
    </w:p>
    <w:tbl>
      <w:tblPr>
        <w:tblStyle w:val="a4"/>
        <w:tblW w:w="16066" w:type="dxa"/>
        <w:tblLook w:val="04A0" w:firstRow="1" w:lastRow="0" w:firstColumn="1" w:lastColumn="0" w:noHBand="0" w:noVBand="1"/>
      </w:tblPr>
      <w:tblGrid>
        <w:gridCol w:w="2661"/>
        <w:gridCol w:w="2667"/>
        <w:gridCol w:w="2748"/>
        <w:gridCol w:w="2664"/>
        <w:gridCol w:w="5326"/>
      </w:tblGrid>
      <w:tr w:rsidR="007D5316" w:rsidRPr="00597566" w:rsidTr="00543B4A">
        <w:trPr>
          <w:trHeight w:val="490"/>
        </w:trPr>
        <w:tc>
          <w:tcPr>
            <w:tcW w:w="16066" w:type="dxa"/>
            <w:gridSpan w:val="5"/>
            <w:shd w:val="clear" w:color="auto" w:fill="D9D9D9" w:themeFill="background1" w:themeFillShade="D9"/>
          </w:tcPr>
          <w:p w:rsidR="007D5316" w:rsidRPr="00023EBC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Title of Discipline /</w:t>
            </w:r>
            <w:r w:rsidRPr="00A23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3E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Environmental Protection Activity</w:t>
            </w:r>
          </w:p>
        </w:tc>
      </w:tr>
      <w:tr w:rsidR="007D5316" w:rsidRPr="00A239A2" w:rsidTr="00543B4A">
        <w:trPr>
          <w:trHeight w:val="24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B66D5C" w:rsidRDefault="007D5316" w:rsidP="00543B4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B66D5C" w:rsidRDefault="007D5316" w:rsidP="00543B4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Duration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B66D5C" w:rsidRDefault="007D5316" w:rsidP="00543B4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Type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B66D5C" w:rsidRDefault="007D5316" w:rsidP="00543B4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ECTS</w:t>
            </w:r>
            <w:r w:rsidRPr="00B66D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B66D5C" w:rsidRDefault="007D5316" w:rsidP="00543B4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 Workload</w:t>
            </w:r>
          </w:p>
        </w:tc>
      </w:tr>
      <w:tr w:rsidR="007D5316" w:rsidRPr="00597566" w:rsidTr="00543B4A">
        <w:trPr>
          <w:trHeight w:val="735"/>
        </w:trPr>
        <w:tc>
          <w:tcPr>
            <w:tcW w:w="2661" w:type="dxa"/>
          </w:tcPr>
          <w:p w:rsidR="007D5316" w:rsidRPr="00A239A2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7D5316" w:rsidRPr="00A239A2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hrs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7D5316" w:rsidRPr="00A239A2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elective</w:t>
            </w:r>
            <w:proofErr w:type="spellEnd"/>
          </w:p>
        </w:tc>
        <w:tc>
          <w:tcPr>
            <w:tcW w:w="2664" w:type="dxa"/>
          </w:tcPr>
          <w:p w:rsidR="007D5316" w:rsidRPr="00A239A2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26" w:type="dxa"/>
          </w:tcPr>
          <w:p w:rsidR="007D5316" w:rsidRPr="00A239A2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l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ectures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classes</w:t>
            </w:r>
            <w:proofErr w:type="spellEnd"/>
            <w:r w:rsidRPr="00A239A2">
              <w:rPr>
                <w:rFonts w:ascii="Times New Roman" w:hAnsi="Times New Roman"/>
                <w:sz w:val="24"/>
                <w:szCs w:val="24"/>
                <w:lang w:val="uk-UA"/>
              </w:rPr>
              <w:t>, 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self-study</w:t>
            </w:r>
            <w:proofErr w:type="spellEnd"/>
          </w:p>
          <w:p w:rsidR="007D5316" w:rsidRPr="00A239A2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D5316" w:rsidRPr="00A239A2" w:rsidRDefault="007D5316" w:rsidP="007D5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6108" w:type="dxa"/>
        <w:tblLook w:val="04A0" w:firstRow="1" w:lastRow="0" w:firstColumn="1" w:lastColumn="0" w:noHBand="0" w:noVBand="1"/>
      </w:tblPr>
      <w:tblGrid>
        <w:gridCol w:w="4027"/>
        <w:gridCol w:w="4027"/>
        <w:gridCol w:w="4027"/>
        <w:gridCol w:w="4027"/>
      </w:tblGrid>
      <w:tr w:rsidR="007D5316" w:rsidRPr="00A239A2" w:rsidTr="00543B4A">
        <w:trPr>
          <w:trHeight w:val="370"/>
        </w:trPr>
        <w:tc>
          <w:tcPr>
            <w:tcW w:w="4027" w:type="dxa"/>
            <w:shd w:val="clear" w:color="auto" w:fill="D9D9D9"/>
          </w:tcPr>
          <w:p w:rsidR="007D5316" w:rsidRPr="00B66D5C" w:rsidRDefault="007D5316" w:rsidP="00543B4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Requirements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4027" w:type="dxa"/>
            <w:shd w:val="clear" w:color="auto" w:fill="D9D9D9"/>
          </w:tcPr>
          <w:p w:rsidR="007D5316" w:rsidRPr="00B66D5C" w:rsidRDefault="007D5316" w:rsidP="00543B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6D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Type of examination </w:t>
            </w:r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oral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written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term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paper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4027" w:type="dxa"/>
            <w:shd w:val="clear" w:color="auto" w:fill="D9D9D9"/>
          </w:tcPr>
          <w:p w:rsidR="007D5316" w:rsidRPr="00B66D5C" w:rsidRDefault="007D5316" w:rsidP="00543B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Methods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learning</w:t>
            </w:r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lectures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seminars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4027" w:type="dxa"/>
            <w:shd w:val="clear" w:color="auto" w:fill="D9D9D9"/>
          </w:tcPr>
          <w:p w:rsidR="007D5316" w:rsidRPr="00B66D5C" w:rsidRDefault="007D5316" w:rsidP="00543B4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Discipline</w:t>
            </w:r>
            <w:proofErr w:type="spellEnd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Coordinator</w:t>
            </w:r>
            <w:proofErr w:type="spellEnd"/>
          </w:p>
        </w:tc>
      </w:tr>
      <w:tr w:rsidR="007D5316" w:rsidRPr="00597566" w:rsidTr="00543B4A">
        <w:trPr>
          <w:trHeight w:val="244"/>
        </w:trPr>
        <w:tc>
          <w:tcPr>
            <w:tcW w:w="4027" w:type="dxa"/>
          </w:tcPr>
          <w:p w:rsidR="007D5316" w:rsidRPr="00182EDE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Bachelor</w:t>
            </w:r>
            <w:r w:rsidRPr="0018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4027" w:type="dxa"/>
          </w:tcPr>
          <w:p w:rsidR="007D5316" w:rsidRPr="00182EDE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Pass-fail test</w:t>
            </w:r>
          </w:p>
        </w:tc>
        <w:tc>
          <w:tcPr>
            <w:tcW w:w="4027" w:type="dxa"/>
          </w:tcPr>
          <w:p w:rsidR="007D5316" w:rsidRPr="00182EDE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Lectures, practical tasks, conversation, discussions </w:t>
            </w:r>
          </w:p>
        </w:tc>
        <w:tc>
          <w:tcPr>
            <w:tcW w:w="4027" w:type="dxa"/>
          </w:tcPr>
          <w:p w:rsidR="007D5316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39A2">
              <w:rPr>
                <w:rFonts w:ascii="Times New Roman" w:hAnsi="Times New Roman"/>
                <w:sz w:val="24"/>
                <w:szCs w:val="24"/>
                <w:lang w:val="uk-UA"/>
              </w:rPr>
              <w:t>Селінний</w:t>
            </w:r>
            <w:proofErr w:type="spellEnd"/>
            <w:r w:rsidRPr="00A23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М.М., </w:t>
            </w:r>
            <w:proofErr w:type="spellStart"/>
            <w:r w:rsidRPr="00A239A2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A239A2">
              <w:rPr>
                <w:rFonts w:ascii="Times New Roman" w:hAnsi="Times New Roman"/>
                <w:sz w:val="24"/>
                <w:szCs w:val="24"/>
                <w:lang w:val="uk-UA"/>
              </w:rPr>
              <w:t>., доцент</w:t>
            </w:r>
          </w:p>
          <w:p w:rsidR="007D5316" w:rsidRPr="00182EDE" w:rsidRDefault="007D5316" w:rsidP="00543B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Selinnyi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M.M., PhD in Economics, Associate Professor</w:t>
            </w:r>
          </w:p>
        </w:tc>
      </w:tr>
    </w:tbl>
    <w:p w:rsidR="007D5316" w:rsidRPr="00E94E09" w:rsidRDefault="007D5316" w:rsidP="007D5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16155" w:type="dxa"/>
        <w:tblLook w:val="04A0" w:firstRow="1" w:lastRow="0" w:firstColumn="1" w:lastColumn="0" w:noHBand="0" w:noVBand="1"/>
      </w:tblPr>
      <w:tblGrid>
        <w:gridCol w:w="16155"/>
      </w:tblGrid>
      <w:tr w:rsidR="007D5316" w:rsidRPr="00E41E12" w:rsidTr="00543B4A">
        <w:tc>
          <w:tcPr>
            <w:tcW w:w="16155" w:type="dxa"/>
            <w:shd w:val="clear" w:color="auto" w:fill="D9D9D9" w:themeFill="background1" w:themeFillShade="D9"/>
          </w:tcPr>
          <w:p w:rsidR="007D5316" w:rsidRPr="00E94E09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 outcomes</w:t>
            </w:r>
          </w:p>
        </w:tc>
      </w:tr>
      <w:tr w:rsidR="007D5316" w:rsidRPr="00597566" w:rsidTr="00543B4A">
        <w:tc>
          <w:tcPr>
            <w:tcW w:w="16155" w:type="dxa"/>
          </w:tcPr>
          <w:p w:rsidR="007D5316" w:rsidRPr="00E94E09" w:rsidRDefault="007D5316" w:rsidP="00543B4A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During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study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of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discipline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applicant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for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higher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education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must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acquire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or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expand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following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general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lang w:val="en-US"/>
              </w:rPr>
              <w:t>GC</w:t>
            </w:r>
            <w:r w:rsidRPr="00E94E09">
              <w:rPr>
                <w:rFonts w:ascii="Times New Roman" w:hAnsi="Times New Roman"/>
                <w:bCs/>
                <w:lang w:val="uk-UA"/>
              </w:rPr>
              <w:t xml:space="preserve">)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special</w:t>
            </w:r>
            <w:r w:rsidRPr="00E94E09">
              <w:rPr>
                <w:rFonts w:ascii="Times New Roman" w:hAnsi="Times New Roman"/>
                <w:bCs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lang w:val="en-US"/>
              </w:rPr>
              <w:t>SC</w:t>
            </w:r>
            <w:r w:rsidRPr="00E94E09">
              <w:rPr>
                <w:rFonts w:ascii="Times New Roman" w:hAnsi="Times New Roman"/>
                <w:bCs/>
                <w:lang w:val="uk-UA"/>
              </w:rPr>
              <w:t xml:space="preserve">)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competencies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provided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by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educational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program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>:</w:t>
            </w:r>
          </w:p>
          <w:p w:rsidR="007D5316" w:rsidRPr="00E94E09" w:rsidRDefault="007D5316" w:rsidP="00543B4A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en-US"/>
              </w:rPr>
              <w:t>G</w:t>
            </w:r>
            <w:r w:rsidRPr="00E94E09">
              <w:rPr>
                <w:rFonts w:ascii="Times New Roman" w:hAnsi="Times New Roman"/>
                <w:bCs/>
                <w:lang w:val="uk-UA"/>
              </w:rPr>
              <w:t xml:space="preserve">C 01.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Act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basis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of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understanding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civilizational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humanitarian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values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​​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globalization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processes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national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development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priorities</w:t>
            </w:r>
            <w:proofErr w:type="spellEnd"/>
          </w:p>
          <w:p w:rsidR="007D5316" w:rsidRPr="00E94E09" w:rsidRDefault="007D5316" w:rsidP="00543B4A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en-US"/>
              </w:rPr>
              <w:t>G</w:t>
            </w:r>
            <w:r w:rsidRPr="00E94E09">
              <w:rPr>
                <w:rFonts w:ascii="Times New Roman" w:hAnsi="Times New Roman"/>
                <w:bCs/>
                <w:lang w:val="uk-UA"/>
              </w:rPr>
              <w:t xml:space="preserve">C 09.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Understanding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mechanisms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of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interaction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of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world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national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tourism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markets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provisions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of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socially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responsible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business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in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tourism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recreation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(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be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able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to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assess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dangers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take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measures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to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prevent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emergencies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>)</w:t>
            </w:r>
          </w:p>
          <w:p w:rsidR="007D5316" w:rsidRPr="00E94E09" w:rsidRDefault="007D5316" w:rsidP="00543B4A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94E09">
              <w:rPr>
                <w:rFonts w:ascii="Times New Roman" w:hAnsi="Times New Roman"/>
                <w:bCs/>
                <w:lang w:val="uk-UA"/>
              </w:rPr>
              <w:t xml:space="preserve">C 13.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Ability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to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identify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strategic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objectives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in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development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of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tourism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business</w:t>
            </w:r>
            <w:proofErr w:type="spellEnd"/>
          </w:p>
          <w:p w:rsidR="007D5316" w:rsidRPr="00E41E12" w:rsidRDefault="007D5316" w:rsidP="00543B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en-US"/>
              </w:rPr>
              <w:t>PLO</w:t>
            </w:r>
            <w:r w:rsidRPr="00E94E09">
              <w:rPr>
                <w:rFonts w:ascii="Times New Roman" w:hAnsi="Times New Roman"/>
                <w:bCs/>
                <w:lang w:val="uk-UA"/>
              </w:rPr>
              <w:t xml:space="preserve"> 8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Fluent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in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the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state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language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and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use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it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in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professional</w:t>
            </w:r>
            <w:proofErr w:type="spellEnd"/>
            <w:r w:rsidRPr="00E94E0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E94E09">
              <w:rPr>
                <w:rFonts w:ascii="Times New Roman" w:hAnsi="Times New Roman"/>
                <w:bCs/>
                <w:lang w:val="uk-UA"/>
              </w:rPr>
              <w:t>activities</w:t>
            </w:r>
            <w:proofErr w:type="spellEnd"/>
          </w:p>
        </w:tc>
      </w:tr>
    </w:tbl>
    <w:p w:rsidR="007D5316" w:rsidRPr="00E41E12" w:rsidRDefault="007D5316" w:rsidP="007D5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6155" w:type="dxa"/>
        <w:tblLook w:val="04A0" w:firstRow="1" w:lastRow="0" w:firstColumn="1" w:lastColumn="0" w:noHBand="0" w:noVBand="1"/>
      </w:tblPr>
      <w:tblGrid>
        <w:gridCol w:w="16155"/>
      </w:tblGrid>
      <w:tr w:rsidR="007D5316" w:rsidRPr="00E41E12" w:rsidTr="00543B4A">
        <w:tc>
          <w:tcPr>
            <w:tcW w:w="16155" w:type="dxa"/>
            <w:shd w:val="clear" w:color="auto" w:fill="D9D9D9" w:themeFill="background1" w:themeFillShade="D9"/>
          </w:tcPr>
          <w:p w:rsidR="007D5316" w:rsidRPr="00E94E09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Content</w:t>
            </w:r>
          </w:p>
        </w:tc>
      </w:tr>
      <w:tr w:rsidR="007D5316" w:rsidRPr="00E41E12" w:rsidTr="00543B4A">
        <w:tc>
          <w:tcPr>
            <w:tcW w:w="16155" w:type="dxa"/>
          </w:tcPr>
          <w:p w:rsidR="007D5316" w:rsidRPr="00755D2B" w:rsidRDefault="007D5316" w:rsidP="00543B4A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755D2B">
              <w:rPr>
                <w:rFonts w:ascii="Times New Roman" w:hAnsi="Times New Roman"/>
                <w:lang w:val="en-US"/>
              </w:rPr>
              <w:t xml:space="preserve">The purpose of the discipline is to form the ability to creative thinking, solving complicated problems of an innovative nature, and making informed decisions in the field of environment protection; to provide students with skills and competences of an efficient management of environmental protection </w:t>
            </w:r>
            <w:proofErr w:type="spellStart"/>
            <w:r w:rsidRPr="00755D2B">
              <w:rPr>
                <w:rFonts w:ascii="Times New Roman" w:hAnsi="Times New Roman"/>
                <w:lang w:val="en-US"/>
              </w:rPr>
              <w:t>activitytaking</w:t>
            </w:r>
            <w:proofErr w:type="spellEnd"/>
            <w:r w:rsidRPr="00755D2B">
              <w:rPr>
                <w:rFonts w:ascii="Times New Roman" w:hAnsi="Times New Roman"/>
                <w:lang w:val="en-US"/>
              </w:rPr>
              <w:t xml:space="preserve"> into account the achievements of scientific and technological progress and international experience, implementation of the economic mechanism of environmental management.</w:t>
            </w:r>
          </w:p>
          <w:p w:rsidR="007D5316" w:rsidRPr="00755D2B" w:rsidRDefault="007D5316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55D2B">
              <w:rPr>
                <w:rFonts w:ascii="Times New Roman" w:hAnsi="Times New Roman"/>
                <w:lang w:val="en-US"/>
              </w:rPr>
              <w:t>The main tasks of studying the discipline are to acquire the theory and methodology of environmental protection management; to use domestic and foreign methods of environmental management; to use different approaches to environmental management from the perspective of sustainable territorial development; to get acquainted with efficient foreign methods of environmental management at different levels; to be able to identify inefficient management decisions regarding environmental protection.</w:t>
            </w:r>
          </w:p>
          <w:p w:rsidR="007D5316" w:rsidRPr="00755D2B" w:rsidRDefault="007D5316" w:rsidP="00543B4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55D2B">
              <w:rPr>
                <w:rFonts w:ascii="Times New Roman" w:hAnsi="Times New Roman"/>
                <w:lang w:val="uk-UA"/>
              </w:rPr>
              <w:t>Topics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>:</w:t>
            </w:r>
          </w:p>
          <w:p w:rsidR="007D5316" w:rsidRPr="00755D2B" w:rsidRDefault="007D5316" w:rsidP="00543B4A">
            <w:pPr>
              <w:pStyle w:val="a3"/>
              <w:tabs>
                <w:tab w:val="left" w:pos="29"/>
              </w:tabs>
              <w:ind w:left="29"/>
              <w:rPr>
                <w:rFonts w:ascii="Times New Roman" w:hAnsi="Times New Roman" w:cs="Times New Roman"/>
                <w:lang w:val="en-US"/>
              </w:rPr>
            </w:pPr>
            <w:r w:rsidRPr="00755D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755D2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755D2B">
              <w:rPr>
                <w:rFonts w:ascii="Times New Roman" w:hAnsi="Times New Roman" w:cs="Times New Roman"/>
                <w:lang w:val="en-US"/>
              </w:rPr>
              <w:t>Methodological foundations of environmental management. Systematic approach. Management mechanisms.</w:t>
            </w:r>
          </w:p>
          <w:p w:rsidR="007D5316" w:rsidRPr="00755D2B" w:rsidRDefault="007D5316" w:rsidP="00543B4A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/>
                <w:lang w:val="uk-UA"/>
              </w:rPr>
            </w:pPr>
            <w:r w:rsidRPr="00755D2B">
              <w:rPr>
                <w:rFonts w:ascii="Times New Roman" w:hAnsi="Times New Roman"/>
                <w:b/>
                <w:lang w:val="uk-UA"/>
              </w:rPr>
              <w:t>2.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 xml:space="preserve">State system of environmental management. Analysis of functions and responsibilities of environmental management ministries and agencies. </w:t>
            </w:r>
          </w:p>
          <w:p w:rsidR="007D5316" w:rsidRPr="00755D2B" w:rsidRDefault="007D5316" w:rsidP="00543B4A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/>
                <w:lang w:val="en-US"/>
              </w:rPr>
            </w:pPr>
            <w:r w:rsidRPr="00755D2B">
              <w:rPr>
                <w:rFonts w:ascii="Times New Roman" w:hAnsi="Times New Roman"/>
                <w:b/>
                <w:lang w:val="uk-UA"/>
              </w:rPr>
              <w:t>3</w:t>
            </w:r>
            <w:r w:rsidRPr="00755D2B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Ecological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economic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indicators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calculations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effectiveness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environmental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uk-UA"/>
              </w:rPr>
              <w:t>activities</w:t>
            </w:r>
            <w:proofErr w:type="spellEnd"/>
            <w:r w:rsidRPr="00755D2B">
              <w:rPr>
                <w:rFonts w:ascii="Times New Roman" w:hAnsi="Times New Roman"/>
                <w:lang w:val="en-US"/>
              </w:rPr>
              <w:t>.</w:t>
            </w:r>
          </w:p>
          <w:p w:rsidR="007D5316" w:rsidRPr="00755D2B" w:rsidRDefault="007D5316" w:rsidP="00543B4A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/>
                <w:lang w:val="en-US"/>
              </w:rPr>
            </w:pPr>
            <w:r w:rsidRPr="00755D2B"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  <w:r w:rsidRPr="00755D2B">
              <w:rPr>
                <w:rFonts w:ascii="Times New Roman" w:hAnsi="Times New Roman"/>
                <w:lang w:val="uk-UA"/>
              </w:rPr>
              <w:t xml:space="preserve">. </w:t>
            </w:r>
            <w:r w:rsidRPr="00755D2B">
              <w:rPr>
                <w:rFonts w:ascii="Times New Roman" w:hAnsi="Times New Roman"/>
                <w:lang w:val="en-US"/>
              </w:rPr>
              <w:t>Environmental protection in nature conservation areas. Problem of enhancing the effectiveness. Management of the eco-network within Ukraine and integration with the European eco-network.</w:t>
            </w:r>
          </w:p>
          <w:p w:rsidR="007D5316" w:rsidRPr="00755D2B" w:rsidRDefault="007D5316" w:rsidP="00543B4A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/>
                <w:lang w:val="en-US"/>
              </w:rPr>
            </w:pPr>
            <w:r w:rsidRPr="00755D2B">
              <w:rPr>
                <w:rFonts w:ascii="Times New Roman" w:hAnsi="Times New Roman"/>
                <w:b/>
                <w:lang w:val="uk-UA"/>
              </w:rPr>
              <w:t>5</w:t>
            </w:r>
            <w:r w:rsidRPr="00755D2B">
              <w:rPr>
                <w:rFonts w:ascii="Times New Roman" w:hAnsi="Times New Roman"/>
                <w:lang w:val="uk-UA"/>
              </w:rPr>
              <w:t xml:space="preserve">. </w:t>
            </w:r>
            <w:r w:rsidRPr="00755D2B">
              <w:rPr>
                <w:rFonts w:ascii="Times New Roman" w:hAnsi="Times New Roman"/>
                <w:lang w:val="en-US"/>
              </w:rPr>
              <w:t>Improvement of environmental protection activity at solid waste management enterprises. Issues preventing an efficient management.</w:t>
            </w:r>
          </w:p>
          <w:p w:rsidR="007D5316" w:rsidRPr="00755D2B" w:rsidRDefault="007D5316" w:rsidP="00543B4A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/>
                <w:b/>
                <w:lang w:val="en-US"/>
              </w:rPr>
            </w:pPr>
            <w:r w:rsidRPr="00755D2B">
              <w:rPr>
                <w:rFonts w:ascii="Times New Roman" w:hAnsi="Times New Roman"/>
                <w:b/>
                <w:lang w:val="uk-UA"/>
              </w:rPr>
              <w:t xml:space="preserve">6. </w:t>
            </w:r>
            <w:r w:rsidRPr="00755D2B">
              <w:rPr>
                <w:rFonts w:ascii="Times New Roman" w:hAnsi="Times New Roman"/>
                <w:lang w:val="en-US"/>
              </w:rPr>
              <w:t>Analysis of the effectiveness of environmental activities within river basins. The use of foreign best practices.</w:t>
            </w:r>
          </w:p>
          <w:p w:rsidR="007D5316" w:rsidRPr="00755D2B" w:rsidRDefault="007D5316" w:rsidP="00543B4A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/>
                <w:lang w:val="en-US"/>
              </w:rPr>
            </w:pPr>
            <w:r w:rsidRPr="00755D2B">
              <w:rPr>
                <w:rFonts w:ascii="Times New Roman" w:hAnsi="Times New Roman"/>
                <w:b/>
                <w:lang w:val="uk-UA"/>
              </w:rPr>
              <w:t>7.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Organization of environmental protection activity at the local level.</w:t>
            </w:r>
          </w:p>
          <w:p w:rsidR="007D5316" w:rsidRPr="00755D2B" w:rsidRDefault="007D5316" w:rsidP="00543B4A">
            <w:pPr>
              <w:tabs>
                <w:tab w:val="left" w:pos="29"/>
              </w:tabs>
              <w:ind w:left="29"/>
              <w:jc w:val="both"/>
              <w:rPr>
                <w:rFonts w:ascii="Times New Roman" w:hAnsi="Times New Roman"/>
                <w:lang w:val="uk-UA"/>
              </w:rPr>
            </w:pPr>
            <w:r w:rsidRPr="00755D2B">
              <w:rPr>
                <w:rFonts w:ascii="Times New Roman" w:hAnsi="Times New Roman"/>
                <w:b/>
                <w:lang w:val="uk-UA"/>
              </w:rPr>
              <w:t>8</w:t>
            </w:r>
            <w:r w:rsidRPr="00755D2B">
              <w:rPr>
                <w:rFonts w:ascii="Times New Roman" w:hAnsi="Times New Roman"/>
                <w:lang w:val="uk-UA"/>
              </w:rPr>
              <w:t xml:space="preserve">. </w:t>
            </w:r>
            <w:r w:rsidRPr="00755D2B">
              <w:rPr>
                <w:rFonts w:ascii="Times New Roman" w:hAnsi="Times New Roman"/>
                <w:lang w:val="en-US"/>
              </w:rPr>
              <w:t>Organization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and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problems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of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/>
                <w:lang w:val="en-US"/>
              </w:rPr>
              <w:t>imprivng</w:t>
            </w:r>
            <w:proofErr w:type="spellEnd"/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management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of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environmental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protection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activity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at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enterprises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and</w:t>
            </w:r>
            <w:r w:rsidRPr="00755D2B">
              <w:rPr>
                <w:rFonts w:ascii="Times New Roman" w:hAnsi="Times New Roman"/>
                <w:lang w:val="uk-UA"/>
              </w:rPr>
              <w:t xml:space="preserve"> </w:t>
            </w:r>
            <w:r w:rsidRPr="00755D2B">
              <w:rPr>
                <w:rFonts w:ascii="Times New Roman" w:hAnsi="Times New Roman"/>
                <w:lang w:val="en-US"/>
              </w:rPr>
              <w:t>organizations</w:t>
            </w:r>
            <w:r w:rsidRPr="00755D2B">
              <w:rPr>
                <w:rFonts w:ascii="Times New Roman" w:hAnsi="Times New Roman"/>
                <w:lang w:val="uk-UA"/>
              </w:rPr>
              <w:t xml:space="preserve">. </w:t>
            </w:r>
            <w:r w:rsidRPr="00755D2B">
              <w:rPr>
                <w:rFonts w:ascii="Times New Roman" w:hAnsi="Times New Roman"/>
                <w:lang w:val="en-US"/>
              </w:rPr>
              <w:t>International standards.</w:t>
            </w:r>
          </w:p>
        </w:tc>
      </w:tr>
    </w:tbl>
    <w:p w:rsidR="007D5316" w:rsidRPr="00E41E12" w:rsidRDefault="007D5316" w:rsidP="007D5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6155" w:type="dxa"/>
        <w:tblLook w:val="04A0" w:firstRow="1" w:lastRow="0" w:firstColumn="1" w:lastColumn="0" w:noHBand="0" w:noVBand="1"/>
      </w:tblPr>
      <w:tblGrid>
        <w:gridCol w:w="16155"/>
      </w:tblGrid>
      <w:tr w:rsidR="007D5316" w:rsidRPr="00E41E12" w:rsidTr="00543B4A">
        <w:tc>
          <w:tcPr>
            <w:tcW w:w="16155" w:type="dxa"/>
            <w:shd w:val="clear" w:color="auto" w:fill="D9D9D9" w:themeFill="background1" w:themeFillShade="D9"/>
          </w:tcPr>
          <w:p w:rsidR="007D5316" w:rsidRPr="00755D2B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Exemplary literature</w:t>
            </w:r>
          </w:p>
        </w:tc>
      </w:tr>
      <w:tr w:rsidR="007D5316" w:rsidRPr="00597566" w:rsidTr="00543B4A">
        <w:tc>
          <w:tcPr>
            <w:tcW w:w="16155" w:type="dxa"/>
          </w:tcPr>
          <w:p w:rsidR="007D5316" w:rsidRPr="00755D2B" w:rsidRDefault="007D5316" w:rsidP="007D5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Organization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environmental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activities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textbook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N.M.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Samoilenko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D.V.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Raiko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V.I;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Averchenko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Kharkiv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NTU "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KhPI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Publishing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House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Leader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2018. - 174 p.</w:t>
            </w:r>
          </w:p>
          <w:p w:rsidR="007D5316" w:rsidRPr="00755D2B" w:rsidRDefault="007D5316" w:rsidP="007D5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Review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effectiveness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environmental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activities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European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Commission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.– UN.– 223 p.</w:t>
            </w:r>
          </w:p>
          <w:p w:rsidR="007D5316" w:rsidRPr="00755D2B" w:rsidRDefault="007D5316" w:rsidP="007D53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Official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site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Ministry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Energy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Environmental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Protection</w:t>
            </w:r>
            <w:proofErr w:type="spellEnd"/>
            <w:r w:rsidRPr="00755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https://menr.gov.ua/</w:t>
            </w:r>
          </w:p>
        </w:tc>
      </w:tr>
    </w:tbl>
    <w:p w:rsidR="007D5316" w:rsidRPr="00E41E12" w:rsidRDefault="007D5316" w:rsidP="007D53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5316" w:rsidRDefault="007D5316" w:rsidP="007D531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5316" w:rsidRDefault="007D5316" w:rsidP="007D531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5316" w:rsidRDefault="007D5316" w:rsidP="007D5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5316" w:rsidRPr="001A4B39" w:rsidRDefault="007D5316" w:rsidP="007D5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Academic Staff</w:t>
      </w:r>
    </w:p>
    <w:tbl>
      <w:tblPr>
        <w:tblStyle w:val="a4"/>
        <w:tblW w:w="16177" w:type="dxa"/>
        <w:tblLook w:val="04A0" w:firstRow="1" w:lastRow="0" w:firstColumn="1" w:lastColumn="0" w:noHBand="0" w:noVBand="1"/>
      </w:tblPr>
      <w:tblGrid>
        <w:gridCol w:w="1641"/>
        <w:gridCol w:w="1343"/>
        <w:gridCol w:w="1799"/>
        <w:gridCol w:w="7347"/>
        <w:gridCol w:w="1512"/>
        <w:gridCol w:w="2535"/>
      </w:tblGrid>
      <w:tr w:rsidR="007D5316" w:rsidRPr="00A239A2" w:rsidTr="00543B4A">
        <w:tc>
          <w:tcPr>
            <w:tcW w:w="1642" w:type="dxa"/>
            <w:shd w:val="clear" w:color="auto" w:fill="D9D9D9" w:themeFill="background1" w:themeFillShade="D9"/>
          </w:tcPr>
          <w:p w:rsidR="007D5316" w:rsidRPr="00A239A2" w:rsidRDefault="007D5316" w:rsidP="00543B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Name</w:t>
            </w:r>
            <w:proofErr w:type="spellEnd"/>
          </w:p>
        </w:tc>
        <w:tc>
          <w:tcPr>
            <w:tcW w:w="1308" w:type="dxa"/>
            <w:shd w:val="clear" w:color="auto" w:fill="D9D9D9" w:themeFill="background1" w:themeFillShade="D9"/>
          </w:tcPr>
          <w:p w:rsidR="007D5316" w:rsidRPr="00A239A2" w:rsidRDefault="007D5316" w:rsidP="00543B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Academic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degree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D5316" w:rsidRPr="00A239A2" w:rsidRDefault="007D5316" w:rsidP="00543B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Position</w:t>
            </w:r>
            <w:proofErr w:type="spellEnd"/>
          </w:p>
        </w:tc>
        <w:tc>
          <w:tcPr>
            <w:tcW w:w="7373" w:type="dxa"/>
            <w:shd w:val="clear" w:color="auto" w:fill="D9D9D9" w:themeFill="background1" w:themeFillShade="D9"/>
          </w:tcPr>
          <w:p w:rsidR="007D5316" w:rsidRPr="00552C09" w:rsidRDefault="007D5316" w:rsidP="00543B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Qualification / Academic D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52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scipline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7D5316" w:rsidRPr="00A239A2" w:rsidRDefault="007D5316" w:rsidP="00543B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Full-time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Part-time</w:t>
            </w:r>
            <w:proofErr w:type="spellEnd"/>
          </w:p>
        </w:tc>
        <w:tc>
          <w:tcPr>
            <w:tcW w:w="2539" w:type="dxa"/>
            <w:shd w:val="clear" w:color="auto" w:fill="D9D9D9" w:themeFill="background1" w:themeFillShade="D9"/>
          </w:tcPr>
          <w:p w:rsidR="007D5316" w:rsidRPr="00A239A2" w:rsidRDefault="007D5316" w:rsidP="00543B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</w:p>
        </w:tc>
      </w:tr>
      <w:tr w:rsidR="007D5316" w:rsidRPr="00597566" w:rsidTr="00543B4A">
        <w:trPr>
          <w:trHeight w:val="1653"/>
        </w:trPr>
        <w:tc>
          <w:tcPr>
            <w:tcW w:w="1642" w:type="dxa"/>
          </w:tcPr>
          <w:p w:rsidR="007D5316" w:rsidRPr="001A4B39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Selinnyi</w:t>
            </w:r>
            <w:proofErr w:type="spellEnd"/>
            <w:r w:rsidRPr="001A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Mykhailo</w:t>
            </w:r>
            <w:proofErr w:type="spellEnd"/>
            <w:r w:rsidRPr="001A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Mykhailovych</w:t>
            </w:r>
            <w:proofErr w:type="spellEnd"/>
          </w:p>
        </w:tc>
        <w:tc>
          <w:tcPr>
            <w:tcW w:w="1308" w:type="dxa"/>
          </w:tcPr>
          <w:p w:rsidR="007D5316" w:rsidRPr="001A4B39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 in Economics, Associate Professor</w:t>
            </w:r>
          </w:p>
        </w:tc>
        <w:tc>
          <w:tcPr>
            <w:tcW w:w="1800" w:type="dxa"/>
          </w:tcPr>
          <w:p w:rsidR="007D5316" w:rsidRPr="001A4B39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Head of the Department of </w:t>
            </w:r>
            <w:r w:rsidRPr="001A4B39">
              <w:rPr>
                <w:rFonts w:ascii="Times New Roman" w:hAnsi="Times New Roman"/>
                <w:sz w:val="24"/>
                <w:szCs w:val="24"/>
                <w:lang w:val="en-US"/>
              </w:rPr>
              <w:t>Agricultural Technologies and Forestry</w:t>
            </w:r>
          </w:p>
        </w:tc>
        <w:tc>
          <w:tcPr>
            <w:tcW w:w="7373" w:type="dxa"/>
          </w:tcPr>
          <w:p w:rsidR="007D5316" w:rsidRPr="00AA38B1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Kharkiv</w:t>
            </w:r>
            <w:proofErr w:type="spellEnd"/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Agrarian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specialty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Agrarian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qualification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economist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organizer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Economics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08.00.03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Economics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Associate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thr</w:t>
            </w:r>
            <w:proofErr w:type="spellEnd"/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Industrial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Safety</w:t>
            </w:r>
            <w:r w:rsidRPr="00AA38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15" w:type="dxa"/>
          </w:tcPr>
          <w:p w:rsidR="007D5316" w:rsidRPr="00AA38B1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Full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539" w:type="dxa"/>
          </w:tcPr>
          <w:p w:rsidR="007D5316" w:rsidRPr="00AA38B1" w:rsidRDefault="007D5316" w:rsidP="00543B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Economics and Organization of Environmental Management, Labor Protection and Civil Protection</w:t>
            </w:r>
          </w:p>
        </w:tc>
      </w:tr>
    </w:tbl>
    <w:p w:rsidR="007D5316" w:rsidRDefault="007D5316" w:rsidP="007D5316">
      <w:pPr>
        <w:spacing w:after="0" w:line="240" w:lineRule="auto"/>
        <w:ind w:firstLine="17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D5316" w:rsidRPr="00942E75" w:rsidRDefault="007D5316" w:rsidP="007D5316">
      <w:pPr>
        <w:spacing w:after="0" w:line="240" w:lineRule="auto"/>
        <w:ind w:firstLine="17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Description of Discipline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606"/>
        <w:gridCol w:w="1359"/>
        <w:gridCol w:w="346"/>
        <w:gridCol w:w="1543"/>
        <w:gridCol w:w="3314"/>
        <w:gridCol w:w="2622"/>
        <w:gridCol w:w="2409"/>
      </w:tblGrid>
      <w:tr w:rsidR="007D5316" w:rsidRPr="00942E75" w:rsidTr="00543B4A">
        <w:tc>
          <w:tcPr>
            <w:tcW w:w="14737" w:type="dxa"/>
            <w:gridSpan w:val="8"/>
            <w:shd w:val="clear" w:color="auto" w:fill="D9D9D9"/>
          </w:tcPr>
          <w:p w:rsidR="007D5316" w:rsidRPr="00942E75" w:rsidRDefault="007D5316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Title</w:t>
            </w:r>
            <w:r w:rsidRPr="00942E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42E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Discipline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023E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Environmental Protection Activity</w:t>
            </w:r>
            <w:bookmarkStart w:id="0" w:name="_GoBack"/>
            <w:bookmarkEnd w:id="0"/>
          </w:p>
        </w:tc>
      </w:tr>
      <w:tr w:rsidR="007D5316" w:rsidRPr="005646A3" w:rsidTr="00543B4A">
        <w:tc>
          <w:tcPr>
            <w:tcW w:w="1538" w:type="dxa"/>
          </w:tcPr>
          <w:p w:rsidR="007D5316" w:rsidRPr="00EF4D17" w:rsidRDefault="007D5316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606" w:type="dxa"/>
          </w:tcPr>
          <w:p w:rsidR="007D5316" w:rsidRPr="00EF4D17" w:rsidRDefault="007D5316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705" w:type="dxa"/>
            <w:gridSpan w:val="2"/>
          </w:tcPr>
          <w:p w:rsidR="007D5316" w:rsidRPr="00EF4D17" w:rsidRDefault="007D5316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 of Discipline</w:t>
            </w:r>
          </w:p>
        </w:tc>
        <w:tc>
          <w:tcPr>
            <w:tcW w:w="1543" w:type="dxa"/>
          </w:tcPr>
          <w:p w:rsidR="007D5316" w:rsidRPr="00EF4D17" w:rsidRDefault="007D5316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936" w:type="dxa"/>
            <w:gridSpan w:val="2"/>
          </w:tcPr>
          <w:p w:rsidR="007D5316" w:rsidRPr="00EF4D17" w:rsidRDefault="007D5316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 Workload</w:t>
            </w:r>
          </w:p>
        </w:tc>
        <w:tc>
          <w:tcPr>
            <w:tcW w:w="2409" w:type="dxa"/>
          </w:tcPr>
          <w:p w:rsidR="007D5316" w:rsidRPr="00EF4D17" w:rsidRDefault="007D5316" w:rsidP="00543B4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Language of Instruction</w:t>
            </w:r>
          </w:p>
        </w:tc>
      </w:tr>
      <w:tr w:rsidR="007D5316" w:rsidRPr="00942E75" w:rsidTr="00543B4A">
        <w:tc>
          <w:tcPr>
            <w:tcW w:w="1538" w:type="dxa"/>
          </w:tcPr>
          <w:p w:rsidR="007D5316" w:rsidRPr="005646A3" w:rsidRDefault="007D5316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06" w:type="dxa"/>
          </w:tcPr>
          <w:p w:rsidR="007D5316" w:rsidRPr="00942E75" w:rsidRDefault="007D5316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1705" w:type="dxa"/>
            <w:gridSpan w:val="2"/>
          </w:tcPr>
          <w:p w:rsidR="007D5316" w:rsidRPr="00942E75" w:rsidRDefault="007D5316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543" w:type="dxa"/>
          </w:tcPr>
          <w:p w:rsidR="007D5316" w:rsidRPr="005646A3" w:rsidRDefault="007D5316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936" w:type="dxa"/>
            <w:gridSpan w:val="2"/>
          </w:tcPr>
          <w:p w:rsidR="007D5316" w:rsidRPr="00942E75" w:rsidRDefault="007D5316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 hours of classroom training, 90 hours of self-study</w:t>
            </w:r>
          </w:p>
        </w:tc>
        <w:tc>
          <w:tcPr>
            <w:tcW w:w="2409" w:type="dxa"/>
          </w:tcPr>
          <w:p w:rsidR="007D5316" w:rsidRPr="00942E75" w:rsidRDefault="007D5316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Ukrainian</w:t>
            </w:r>
          </w:p>
        </w:tc>
      </w:tr>
      <w:tr w:rsidR="007D5316" w:rsidRPr="00942E75" w:rsidTr="00543B4A">
        <w:tc>
          <w:tcPr>
            <w:tcW w:w="4503" w:type="dxa"/>
            <w:gridSpan w:val="3"/>
          </w:tcPr>
          <w:p w:rsidR="007D5316" w:rsidRPr="00EF4D17" w:rsidRDefault="007D5316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5203" w:type="dxa"/>
            <w:gridSpan w:val="3"/>
          </w:tcPr>
          <w:p w:rsidR="007D5316" w:rsidRPr="00C90897" w:rsidRDefault="007D5316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5031" w:type="dxa"/>
            <w:gridSpan w:val="2"/>
          </w:tcPr>
          <w:p w:rsidR="007D5316" w:rsidRPr="00C90897" w:rsidRDefault="007D5316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Methods</w:t>
            </w:r>
          </w:p>
        </w:tc>
      </w:tr>
      <w:tr w:rsidR="007D5316" w:rsidRPr="00561F51" w:rsidTr="00543B4A">
        <w:tc>
          <w:tcPr>
            <w:tcW w:w="4503" w:type="dxa"/>
            <w:gridSpan w:val="3"/>
          </w:tcPr>
          <w:p w:rsidR="007D5316" w:rsidRPr="005646A3" w:rsidRDefault="007D5316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PLO 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know the official language to perform the</w:t>
            </w:r>
            <w:r w:rsidRPr="00BE7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03" w:type="dxa"/>
            <w:gridSpan w:val="3"/>
          </w:tcPr>
          <w:p w:rsidR="007D5316" w:rsidRPr="005646A3" w:rsidRDefault="007D5316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methods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used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especially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verbal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ones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7D5316" w:rsidRPr="005646A3" w:rsidRDefault="007D5316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methods</w:t>
            </w:r>
            <w:r w:rsidRPr="00021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021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</w:p>
        </w:tc>
      </w:tr>
    </w:tbl>
    <w:p w:rsidR="00BF6607" w:rsidRPr="007D5316" w:rsidRDefault="00BF6607">
      <w:pPr>
        <w:rPr>
          <w:lang w:val="en-US"/>
        </w:rPr>
      </w:pPr>
    </w:p>
    <w:sectPr w:rsidR="00BF6607" w:rsidRPr="007D5316" w:rsidSect="006534DB">
      <w:pgSz w:w="16838" w:h="11906" w:orient="landscape"/>
      <w:pgMar w:top="1701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02E6"/>
    <w:multiLevelType w:val="hybridMultilevel"/>
    <w:tmpl w:val="E580F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16"/>
    <w:rsid w:val="006534DB"/>
    <w:rsid w:val="007D5316"/>
    <w:rsid w:val="00B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84EA"/>
  <w15:chartTrackingRefBased/>
  <w15:docId w15:val="{9DD58C6C-7343-4441-9FE5-BA81212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1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7D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2022-10-16T09:21:00Z</dcterms:created>
  <dcterms:modified xsi:type="dcterms:W3CDTF">2022-10-16T09:23:00Z</dcterms:modified>
</cp:coreProperties>
</file>